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Järfälla kommunfullmäktige</w:t>
      </w:r>
    </w:p>
    <w:p>
      <w:pPr>
        <w:pStyle w:val="Heading1"/>
      </w:pPr>
      <w:r>
        <w:t xml:space="preserve">Obligatorisk SFI med arbetsmarknadsfokus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Järfälla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Andelen utrikes födda i Järfälla med arbete är lägre än genomsnittet i Stockholms län (kommunens integrationsrapport 2024). SFI-kurserna saknar tillräcklig koppling till yrkesutbildning och praktik.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Järfälla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uppdrar åt vuxenutbildningsnämnden att införa obligatorisk yrkesinriktad SFI för alla nyanlända inom 6 månader efter folkbokföring.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samverkan med Arbetsförmedlingen och lokala företag utökas med minst 200 praktikplatser per år.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resultatuppföljning av SFI-genomströmning redovisas årligen till kommunfullmäktige.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vuxenutbildningsnämnden ges i uppdrag att erbjuda SFI på kvällstid och distans.</w:t>
      </w:r>
    </w:p>
    <w:p>
      <w:pPr>
        <w:spacing w:before="360"/>
      </w:pPr>
    </w:p>
    <w:p>
      <w:r>
        <w:t xml:space="preserve">Järfälla,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Järfälla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2026-07-14T03:43:12.396Z</dcterms:created>
  <dcterms:modified xsi:type="dcterms:W3CDTF">2026-07-14T03:43:12.396Z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